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D2" w:rsidRDefault="008E76D2" w:rsidP="008E76D2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bookmarkStart w:id="0" w:name="_Toc158890828"/>
      <w:r>
        <w:rPr>
          <w:rFonts w:ascii="Calibri" w:eastAsia="Times New Roman" w:hAnsi="Calibri" w:cs="Times New Roman"/>
          <w:noProof/>
        </w:rPr>
        <w:drawing>
          <wp:inline distT="0" distB="0" distL="0" distR="0" wp14:anchorId="47B5017D" wp14:editId="0606F16E">
            <wp:extent cx="276225" cy="247650"/>
            <wp:effectExtent l="0" t="0" r="9525" b="0"/>
            <wp:docPr id="14" name="Рисунок 20" descr="C:\Users\Лена\AppData\Local\Microsoft\Windows\Temporary Internet Files\Content.Word\Макет_Банк-Нальчик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AppData\Local\Microsoft\Windows\Temporary Internet Files\Content.Word\Макет_Банк-Нальчик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60B">
        <w:rPr>
          <w:rFonts w:ascii="Times New Roman" w:eastAsia="Times New Roman" w:hAnsi="Times New Roman" w:cs="Times New Roman"/>
          <w:b/>
        </w:rPr>
        <w:t>Банк «Нальчик» ООО</w:t>
      </w:r>
    </w:p>
    <w:p w:rsidR="008E76D2" w:rsidRPr="001A5082" w:rsidRDefault="008E76D2" w:rsidP="008E76D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32A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предоставления, использования и возврата кредитных средств по </w:t>
      </w:r>
      <w:r w:rsidRPr="00BA632A">
        <w:rPr>
          <w:rFonts w:ascii="Times New Roman" w:hAnsi="Times New Roman" w:cs="Times New Roman"/>
          <w:b/>
          <w:sz w:val="24"/>
          <w:szCs w:val="24"/>
          <w:u w:val="single"/>
        </w:rPr>
        <w:t>потребительским</w:t>
      </w:r>
      <w:r w:rsidRPr="00BA632A">
        <w:rPr>
          <w:rFonts w:ascii="Times New Roman" w:hAnsi="Times New Roman" w:cs="Times New Roman"/>
          <w:b/>
          <w:sz w:val="24"/>
          <w:szCs w:val="24"/>
        </w:rPr>
        <w:t xml:space="preserve"> кредитам в Банке «Нальчик» ООО</w:t>
      </w:r>
    </w:p>
    <w:p w:rsidR="00642DE2" w:rsidRPr="00642DE2" w:rsidRDefault="00642DE2" w:rsidP="008E76D2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(Действует с 20.08.2024)</w:t>
      </w:r>
    </w:p>
    <w:tbl>
      <w:tblPr>
        <w:tblpPr w:leftFromText="180" w:rightFromText="180" w:vertAnchor="text" w:tblpY="1"/>
        <w:tblOverlap w:val="never"/>
        <w:tblW w:w="148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"/>
        <w:gridCol w:w="4365"/>
        <w:gridCol w:w="9976"/>
      </w:tblGrid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</w:pPr>
            <w:r w:rsidRPr="00BA632A">
              <w:t>№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</w:pPr>
            <w:r w:rsidRPr="00BA632A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</w:pPr>
            <w:r w:rsidRPr="00BA632A"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8E76D2" w:rsidRPr="00BA632A" w:rsidTr="00BA0721">
              <w:trPr>
                <w:trHeight w:val="345"/>
                <w:tblCellSpacing w:w="0" w:type="dxa"/>
              </w:trPr>
              <w:tc>
                <w:tcPr>
                  <w:tcW w:w="3915" w:type="dxa"/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«Интернет», номер лицензии на осуществление банковских операций</w:t>
                  </w:r>
                </w:p>
              </w:tc>
            </w:tr>
          </w:tbl>
          <w:p w:rsidR="008E76D2" w:rsidRPr="00BA632A" w:rsidRDefault="008E76D2" w:rsidP="00BA07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720"/>
            </w:tblGrid>
            <w:tr w:rsidR="008E76D2" w:rsidRPr="00BA632A" w:rsidTr="00BA0721">
              <w:trPr>
                <w:trHeight w:val="570"/>
                <w:tblCellSpacing w:w="0" w:type="dxa"/>
              </w:trPr>
              <w:tc>
                <w:tcPr>
                  <w:tcW w:w="9510" w:type="dxa"/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Наименование кредитора: 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- полное наименование: БАНК «НАЛЬЧИК» (общество с ограниченной ответственностью);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- сокращенное наименование: Банк «Нальчик» ООО (далее – Банк). 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Место нахождения постоянно действующего исполнительного органа: 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360022, КБР, г. Нальчик, ул. Толстого, д. 77. 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Контактные телефоны: 8 (8662) 77-34-11.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Официальный сайт Банка: </w:t>
                  </w:r>
                  <w:hyperlink r:id="rId7" w:history="1">
                    <w:r w:rsidRPr="00BA632A">
                      <w:rPr>
                        <w:rStyle w:val="a5"/>
                        <w:rFonts w:eastAsiaTheme="minorEastAsia"/>
                        <w:color w:val="023888"/>
                        <w:sz w:val="20"/>
                        <w:szCs w:val="20"/>
                      </w:rPr>
                      <w:t>http://bnal.ru</w:t>
                    </w:r>
                  </w:hyperlink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Базовая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привлечение во вклады и размещение драгоценных металлов № 695 от 19.09.2018г. Выдана ЦБ РФ бессрочно.</w:t>
                  </w:r>
                </w:p>
              </w:tc>
            </w:tr>
          </w:tbl>
          <w:p w:rsidR="008E76D2" w:rsidRPr="00BA632A" w:rsidRDefault="008E76D2" w:rsidP="00BA0721">
            <w:pPr>
              <w:jc w:val="both"/>
              <w:rPr>
                <w:sz w:val="24"/>
                <w:szCs w:val="24"/>
              </w:rPr>
            </w:pPr>
          </w:p>
        </w:tc>
      </w:tr>
      <w:tr w:rsidR="008E76D2" w:rsidRPr="00BA632A" w:rsidTr="00BA0721">
        <w:trPr>
          <w:trHeight w:val="869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8E76D2" w:rsidRPr="00BA632A" w:rsidTr="00BA0721">
              <w:trPr>
                <w:trHeight w:val="105"/>
                <w:tblCellSpacing w:w="0" w:type="dxa"/>
              </w:trPr>
              <w:tc>
                <w:tcPr>
                  <w:tcW w:w="3915" w:type="dxa"/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line="105" w:lineRule="atLeast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заемщику, которые установлены </w:t>
                  </w:r>
                  <w:proofErr w:type="gramStart"/>
                  <w:r w:rsidRPr="00BA632A">
                    <w:rPr>
                      <w:color w:val="000000"/>
                      <w:sz w:val="20"/>
                      <w:szCs w:val="20"/>
                    </w:rPr>
                    <w:t>кредитором</w:t>
                  </w:r>
                  <w:proofErr w:type="gram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и выполнение которых является обязательным для предоставления потребительского кредита</w:t>
                  </w:r>
                </w:p>
              </w:tc>
            </w:tr>
          </w:tbl>
          <w:p w:rsidR="008E76D2" w:rsidRPr="00BA632A" w:rsidRDefault="008E76D2" w:rsidP="00BA07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94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8E76D2" w:rsidRPr="00BA632A" w:rsidTr="00BA0721">
              <w:trPr>
                <w:trHeight w:val="630"/>
                <w:tblCellSpacing w:w="0" w:type="dxa"/>
              </w:trPr>
              <w:tc>
                <w:tcPr>
                  <w:tcW w:w="8730" w:type="dxa"/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заемщику: 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гражданство Российской Федерации; 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постоянная регистрация на территории РФ; 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возраст на момент подачи Заявления-анкеты: не менее 20 лет;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возраст на момент возврата кредита по договору: не более 75 лет;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стаж работы: </w:t>
                  </w:r>
                  <w:r w:rsidRPr="00BA632A">
                    <w:rPr>
                      <w:color w:val="262626"/>
                      <w:sz w:val="20"/>
                      <w:szCs w:val="20"/>
                    </w:rPr>
                    <w:t>не менее 6 месяцев на текущем месте работы;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подтверждение постоянного источника дохода; 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отсутствие отрицательной кредитной истории. 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рефинансируемому кредиту при оформлении продукта Рефинансирование: 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остаток срока действия кредита – не менее 3 месяцев; 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погашение задолженности ежемесячно; 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валюта кредита – рубли Российской Федерации; 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регулярное погашение задолженности по кредиту (кредитной карте) в течение последних 6 месяцев; 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отсутствие текущей просроченной задолженности по кредиту. </w:t>
                  </w:r>
                </w:p>
              </w:tc>
            </w:tr>
          </w:tbl>
          <w:p w:rsidR="008E76D2" w:rsidRPr="00BA632A" w:rsidRDefault="008E76D2" w:rsidP="00BA0721">
            <w:pPr>
              <w:jc w:val="both"/>
              <w:rPr>
                <w:sz w:val="24"/>
                <w:szCs w:val="24"/>
              </w:rPr>
            </w:pP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Сроки рассмотрения оформленного заемщиком </w:t>
            </w:r>
            <w:r w:rsidRPr="00BA632A">
              <w:rPr>
                <w:color w:val="000000"/>
                <w:sz w:val="20"/>
                <w:szCs w:val="20"/>
              </w:rPr>
              <w:lastRenderedPageBreak/>
              <w:t>заявления о предоставлении потребительского кредита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lastRenderedPageBreak/>
              <w:t xml:space="preserve">Срок рассмотрения, оформленного заемщиком заявления о предоставлении кредита и принятия Банком решения </w:t>
            </w:r>
            <w:r w:rsidRPr="00BA632A">
              <w:rPr>
                <w:color w:val="000000"/>
                <w:sz w:val="20"/>
                <w:szCs w:val="20"/>
              </w:rPr>
              <w:lastRenderedPageBreak/>
              <w:t>относительно этого заявления — не более 5 рабочих дней со дня предоставления заемщиком полного пакета документов.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Минимальный перечень документов, необходимых для рассмотрения заявления о предоставлении кредита: </w:t>
            </w:r>
          </w:p>
          <w:p w:rsidR="008E76D2" w:rsidRPr="00BA632A" w:rsidRDefault="008E76D2" w:rsidP="008E76D2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заявление – анкета на получение кредита;</w:t>
            </w:r>
          </w:p>
          <w:p w:rsidR="008E76D2" w:rsidRPr="00BA632A" w:rsidRDefault="008E76D2" w:rsidP="008E76D2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паспорт гражданина Российской Федерации;</w:t>
            </w:r>
          </w:p>
          <w:p w:rsidR="008E76D2" w:rsidRPr="00BA632A" w:rsidRDefault="008E76D2" w:rsidP="008E76D2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страхования (СНИЛС);</w:t>
            </w:r>
          </w:p>
          <w:p w:rsidR="008E76D2" w:rsidRPr="00BA632A" w:rsidRDefault="008E76D2" w:rsidP="008E76D2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копия трудовой книжки / выписка из трудовой книжки / трудового договора (контракта) с последнего места работы (для физических лиц, в отношении которых законодательством Российской Федерации допускается отсутствие трудовой книжки);</w:t>
            </w:r>
          </w:p>
          <w:p w:rsidR="008E76D2" w:rsidRPr="00BA632A" w:rsidRDefault="008E76D2" w:rsidP="008E76D2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документы, подтверждающие финансовое состояние и трудовую занятость. Решение о предоставлении ссуды (совокупности ссуд) величиной до 100 тыс. руб. может приниматься Банком </w:t>
            </w:r>
            <w:r>
              <w:rPr>
                <w:color w:val="000000"/>
                <w:sz w:val="20"/>
                <w:szCs w:val="20"/>
              </w:rPr>
              <w:t>при отсутствии</w:t>
            </w:r>
            <w:r w:rsidRPr="00BA632A">
              <w:rPr>
                <w:color w:val="000000"/>
                <w:sz w:val="20"/>
                <w:szCs w:val="20"/>
              </w:rPr>
              <w:t xml:space="preserve"> документов для оценки финансового положения заемщика.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ind w:left="720"/>
              <w:jc w:val="both"/>
            </w:pP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Полный перечень документов приведен в Перечне документов, принимаемых от Заемщика/</w:t>
            </w:r>
            <w:proofErr w:type="spellStart"/>
            <w:r w:rsidRPr="00BA632A">
              <w:rPr>
                <w:color w:val="000000"/>
                <w:sz w:val="20"/>
                <w:szCs w:val="20"/>
              </w:rPr>
              <w:t>Созаемщика</w:t>
            </w:r>
            <w:proofErr w:type="spellEnd"/>
            <w:r w:rsidRPr="00BA632A">
              <w:rPr>
                <w:color w:val="000000"/>
                <w:sz w:val="20"/>
                <w:szCs w:val="20"/>
              </w:rPr>
              <w:t>/Поручителя, подтверждающих его финансовое состояние и трудовую занятость, а также требования к их оформлению.</w:t>
            </w: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Виды потребительского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«Потребительский»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«Зарплатный»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«Пенсионный»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«Рефинансирование»</w:t>
            </w: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Суммы потребительского кредита и сроки его возврата.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Сумма кредита: от 10 тыс. руб. до 5 млн. руб. 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Срок кредита: от 3 до 60 месяцев.</w:t>
            </w: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Валюты, в которых предоставляется потребительский кредит.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Рубли Российской Федерации</w:t>
            </w: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Способы предоставления потребительского кредита, в том числе с использованием заемщиком электронных сре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дств пл</w:t>
            </w:r>
            <w:proofErr w:type="gramEnd"/>
            <w:r w:rsidRPr="00BA632A">
              <w:rPr>
                <w:color w:val="000000"/>
                <w:sz w:val="20"/>
                <w:szCs w:val="20"/>
              </w:rPr>
              <w:t xml:space="preserve">атежа.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Безналичное зачисление суммы кредита на текущий счет/ или счет вклада (депозита) Заемщика, открытые в Банке (далее – Счет кредитования) или выдача наличными денежными средствами через кассу Банка.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Кредит может быть предоставлен: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единовременно путем зачисления на Счет кредитования или наличными денежными средствами через кассу Банка;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частями по заявлению Заемщика путем зачисления на Счет кредитования или наличными денежными средствами через кассу Банка в пределах неиспользованного (свободного) остатка Лимита кредитования.</w:t>
            </w: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соответствующий требованиям Федерального закона № 353-ФЗ.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6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97"/>
              <w:gridCol w:w="4342"/>
              <w:gridCol w:w="1636"/>
            </w:tblGrid>
            <w:tr w:rsidR="008E76D2" w:rsidRPr="00BA632A" w:rsidTr="00BA0721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Процентная ставка (годовая)</w:t>
                  </w: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«Потребительский»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2B0530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23,8 % - 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29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4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lastRenderedPageBreak/>
                    <w:t>«Зарплатный»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2B0530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21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,7% - 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26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7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«Пенсионный»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2B0530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23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>,0 % - 2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2B0530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22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,3 % - 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27,3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Надбавка за перевод заработной платы в иную кредитную организацию </w:t>
                  </w:r>
                  <w:r w:rsidRPr="00BA632A">
                    <w:rPr>
                      <w:color w:val="000000"/>
                      <w:sz w:val="15"/>
                      <w:szCs w:val="15"/>
                    </w:rPr>
                    <w:t>(изменение процентной ставки осуществляется в течение трех рабочих дней, следующих за днем получения информации о переводе)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sz w:val="20"/>
                      <w:szCs w:val="20"/>
                    </w:rPr>
                    <w:t>+ 2 %</w:t>
                  </w: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Надбавка за перевод пенсии в другую кредитную организацию </w:t>
                  </w:r>
                  <w:r w:rsidRPr="00BA632A">
                    <w:rPr>
                      <w:color w:val="000000"/>
                      <w:sz w:val="15"/>
                      <w:szCs w:val="15"/>
                    </w:rPr>
                    <w:t>(изменение процентной ставки осуществляется в течение трех рабочих дней, следующих за днем получения информации о переводе)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sz w:val="20"/>
                      <w:szCs w:val="20"/>
                    </w:rPr>
                    <w:t>+ 2 %</w:t>
                  </w: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Надбавка за </w:t>
                  </w:r>
                  <w:proofErr w:type="spellStart"/>
                  <w:r w:rsidRPr="00BA632A">
                    <w:rPr>
                      <w:color w:val="000000"/>
                      <w:sz w:val="20"/>
                      <w:szCs w:val="20"/>
                    </w:rPr>
                    <w:t>непредоставление</w:t>
                  </w:r>
                  <w:proofErr w:type="spell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документов, подтверждающих целевое использование (</w:t>
                  </w:r>
                  <w:r w:rsidRPr="00BA632A">
                    <w:rPr>
                      <w:color w:val="000000"/>
                      <w:sz w:val="15"/>
                      <w:szCs w:val="15"/>
                    </w:rPr>
                    <w:t>изменение ставки осуществляется в дату очередного ежемесячного платежа по погашению кредита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+ 2 %</w:t>
                  </w:r>
                </w:p>
              </w:tc>
            </w:tr>
          </w:tbl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Переменные процентные ставки – не применимо</w:t>
            </w:r>
          </w:p>
        </w:tc>
      </w:tr>
      <w:tr w:rsidR="008E76D2" w:rsidRPr="00BA632A" w:rsidTr="00BA0721">
        <w:trPr>
          <w:trHeight w:val="49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Дата,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Проценты за пользование кредитом начисляются со дня, следующего за днем зачисления суммы кредита на счет вклада (депозита) или текущий счет Заемщика, открытый в Банке или выдачи наличными через кассу Банка.</w:t>
            </w: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Виды и суммы иных платежей заемщика по договору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Default="008E76D2" w:rsidP="00BA072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>Не применимо.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8E76D2" w:rsidRDefault="008E76D2" w:rsidP="00BA072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Оплата услуг нотариуса </w:t>
            </w:r>
            <w:proofErr w:type="gramStart"/>
            <w:r>
              <w:rPr>
                <w:color w:val="000000"/>
                <w:sz w:val="20"/>
                <w:szCs w:val="20"/>
              </w:rPr>
              <w:t>по регистрации залога в реестре уведомлений о залоге движимого имущества в соответствии с его тарифами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8E76D2" w:rsidRDefault="008E76D2" w:rsidP="00BA072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услуг нотариуса  по удостоверению согласия супруг</w:t>
            </w:r>
            <w:proofErr w:type="gramStart"/>
            <w:r>
              <w:rPr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color w:val="000000"/>
                <w:sz w:val="20"/>
                <w:szCs w:val="20"/>
              </w:rPr>
              <w:t>и) на залог  имущества в соответствии с его тарифами.</w:t>
            </w:r>
          </w:p>
          <w:p w:rsidR="008E76D2" w:rsidRDefault="008E76D2" w:rsidP="00BA0721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Оценка независимого оценщика предмета залога в соответствии с его тарифами.</w:t>
            </w:r>
          </w:p>
          <w:p w:rsidR="008E76D2" w:rsidRPr="00BA632A" w:rsidRDefault="008E76D2" w:rsidP="00BA0721">
            <w:pPr>
              <w:spacing w:after="0" w:line="240" w:lineRule="auto"/>
              <w:jc w:val="both"/>
            </w:pP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Диапазоны значений полной стоимости потребительского кредита в процентах годовых, определенных с учетом требований Федерального закона № 353-ФЗ.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3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333"/>
              <w:gridCol w:w="3022"/>
            </w:tblGrid>
            <w:tr w:rsidR="008E76D2" w:rsidRPr="00BA632A" w:rsidTr="00BA0721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Диапазон ПСК в процентах годовых</w:t>
                  </w: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Потребительский «Потребительский»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2B0530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23,3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30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9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Потребительский «Зарплатный»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2B0530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21,2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28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Потребительский «Пенсионный»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2B0530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22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 % - 2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9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proofErr w:type="gramStart"/>
                  <w:r w:rsidRPr="00BA632A">
                    <w:rPr>
                      <w:color w:val="000000"/>
                      <w:sz w:val="20"/>
                      <w:szCs w:val="20"/>
                    </w:rPr>
                    <w:t>Потребительский</w:t>
                  </w:r>
                  <w:proofErr w:type="gram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«Рефинансирование»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2B0530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2B0530">
                    <w:rPr>
                      <w:color w:val="000000"/>
                      <w:sz w:val="20"/>
                      <w:szCs w:val="20"/>
                    </w:rPr>
                    <w:t>2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 % - 28,</w:t>
                  </w:r>
                  <w:r w:rsidRPr="002B0530">
                    <w:rPr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2B0530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8E76D2" w:rsidRPr="00BA632A" w:rsidRDefault="008E76D2" w:rsidP="00BA0721">
            <w:pPr>
              <w:jc w:val="both"/>
              <w:rPr>
                <w:sz w:val="24"/>
                <w:szCs w:val="24"/>
              </w:rPr>
            </w:pP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Периодичность платежей заемщика при </w:t>
            </w:r>
            <w:r w:rsidRPr="00BA632A">
              <w:rPr>
                <w:color w:val="000000"/>
                <w:sz w:val="20"/>
                <w:szCs w:val="20"/>
              </w:rPr>
              <w:lastRenderedPageBreak/>
              <w:t>возврате потребительского кредита, уплате процентов и иных платежей по кредиту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 xml:space="preserve">Ежемесячно </w:t>
            </w:r>
            <w:proofErr w:type="spellStart"/>
            <w:r w:rsidRPr="00BA632A">
              <w:rPr>
                <w:sz w:val="20"/>
                <w:szCs w:val="20"/>
              </w:rPr>
              <w:t>аннуитетными</w:t>
            </w:r>
            <w:proofErr w:type="spellEnd"/>
            <w:r w:rsidRPr="00BA632A">
              <w:rPr>
                <w:sz w:val="20"/>
                <w:szCs w:val="20"/>
              </w:rPr>
              <w:t xml:space="preserve"> платежами в соответствии с графиком платежей, если иное не установлено </w:t>
            </w:r>
            <w:r w:rsidRPr="00BA632A">
              <w:rPr>
                <w:sz w:val="20"/>
                <w:szCs w:val="20"/>
              </w:rPr>
              <w:lastRenderedPageBreak/>
              <w:t>индивидуальными условиями договора</w:t>
            </w: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Способы возврата заемщиком потребительского кредита, уплаты процентов по нему, включая бесплатный способ исполнения заемщиком обязательств по договору потребительского кредита. </w:t>
            </w:r>
          </w:p>
          <w:p w:rsidR="008E76D2" w:rsidRPr="00BA632A" w:rsidRDefault="008E76D2" w:rsidP="00BA0721">
            <w:pPr>
              <w:pStyle w:val="a4"/>
              <w:jc w:val="both"/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Исполнение заемщиком обязательств по кредитному договору может осуществляться следующими способами: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зачисление наличных денежных средств на Счет кредитования в Офисе Банк</w:t>
            </w:r>
            <w:proofErr w:type="gramStart"/>
            <w:r w:rsidRPr="00BA632A">
              <w:rPr>
                <w:sz w:val="20"/>
                <w:szCs w:val="20"/>
              </w:rPr>
              <w:t>а–</w:t>
            </w:r>
            <w:proofErr w:type="gramEnd"/>
            <w:r w:rsidRPr="00BA632A">
              <w:rPr>
                <w:sz w:val="20"/>
                <w:szCs w:val="20"/>
              </w:rPr>
              <w:t xml:space="preserve"> бесплатный способ;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перечисление денежных средств с иного счета заемщика, открытого в Банке на Счет кредитования – бесплатный способ;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внесение наличных денежных сре</w:t>
            </w:r>
            <w:proofErr w:type="gramStart"/>
            <w:r w:rsidRPr="00BA632A">
              <w:rPr>
                <w:sz w:val="20"/>
                <w:szCs w:val="20"/>
              </w:rPr>
              <w:t>дств в к</w:t>
            </w:r>
            <w:proofErr w:type="gramEnd"/>
            <w:r w:rsidRPr="00BA632A">
              <w:rPr>
                <w:sz w:val="20"/>
                <w:szCs w:val="20"/>
              </w:rPr>
              <w:t>ассу Банка (включая кассы дополнительных офисов Банка) – бесплатный способ;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зачисление денежных средств на Счет кредитования через счета, открытые в иных кредитных орга</w:t>
            </w:r>
            <w:r>
              <w:rPr>
                <w:sz w:val="20"/>
                <w:szCs w:val="20"/>
              </w:rPr>
              <w:t>низациях в безналичном порядке.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Сроки, в течение которых заемщик вправе отказаться от получения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 xml:space="preserve">Заемщик вправе отказаться от получения кредита полностью или частично в любой момент до заключения Договора, уведомив об этом Банк до </w:t>
            </w:r>
            <w:proofErr w:type="gramStart"/>
            <w:r w:rsidRPr="00BA632A">
              <w:rPr>
                <w:sz w:val="20"/>
                <w:szCs w:val="20"/>
              </w:rPr>
              <w:t>истечения</w:t>
            </w:r>
            <w:proofErr w:type="gramEnd"/>
            <w:r w:rsidRPr="00BA632A">
              <w:rPr>
                <w:sz w:val="20"/>
                <w:szCs w:val="20"/>
              </w:rPr>
              <w:t xml:space="preserve"> установленного договором потребительского кредита срока его предоставления (до зачисления денежных средств на Счет кредитования или до выдачи наличных через кассу Банка).</w:t>
            </w: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Способы обеспечения исполнения обязательств по договору потребительского кредита. </w:t>
            </w:r>
          </w:p>
          <w:p w:rsidR="008E76D2" w:rsidRPr="00BA632A" w:rsidRDefault="008E76D2" w:rsidP="00BA0721">
            <w:pPr>
              <w:pStyle w:val="a4"/>
              <w:jc w:val="both"/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2352"/>
              <w:gridCol w:w="5168"/>
            </w:tblGrid>
            <w:tr w:rsidR="008E76D2" w:rsidRPr="00BA632A" w:rsidTr="00BA0721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 кредитам до 100000 руб. </w:t>
                  </w:r>
                </w:p>
              </w:tc>
              <w:tc>
                <w:tcPr>
                  <w:tcW w:w="4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 кредитам свыше 100000 руб.</w:t>
                  </w: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«Потребительский»</w:t>
                  </w:r>
                </w:p>
              </w:tc>
              <w:tc>
                <w:tcPr>
                  <w:tcW w:w="22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Поручительство одного физического лица либо юридического лица и/или залог ликвидного имущества</w:t>
                  </w:r>
                </w:p>
              </w:tc>
              <w:tc>
                <w:tcPr>
                  <w:tcW w:w="4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Для работающих заемщиков: поручительство двух физических лиц либо юридического лица и/или залог ликвидного имущества.</w:t>
                  </w:r>
                </w:p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Для пенсионеров: поручительство одного физического лица либо юридического лица и/или залог ликвидного имущества.</w:t>
                  </w: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«Зарплатный»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«Пенсионный»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8E76D2" w:rsidRPr="00BA632A" w:rsidTr="00BA0721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E76D2" w:rsidRPr="00BA632A" w:rsidRDefault="008E76D2" w:rsidP="001A5082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E76D2" w:rsidRPr="00BA632A" w:rsidRDefault="008E76D2" w:rsidP="00BA0721">
            <w:pPr>
              <w:jc w:val="both"/>
              <w:rPr>
                <w:sz w:val="24"/>
                <w:szCs w:val="24"/>
              </w:rPr>
            </w:pPr>
          </w:p>
        </w:tc>
      </w:tr>
      <w:tr w:rsidR="008E76D2" w:rsidRPr="00BA632A" w:rsidTr="00BA0721">
        <w:trPr>
          <w:trHeight w:val="441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Ответственность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За несвоевременное погашение кредита с заемщика взимается неустойка в размере 10% </w:t>
            </w:r>
            <w:proofErr w:type="gramStart"/>
            <w:r w:rsidRPr="00BA632A">
              <w:rPr>
                <w:sz w:val="20"/>
                <w:szCs w:val="20"/>
              </w:rPr>
              <w:t>годовых</w:t>
            </w:r>
            <w:proofErr w:type="gramEnd"/>
            <w:r w:rsidRPr="00BA632A">
              <w:rPr>
                <w:sz w:val="20"/>
                <w:szCs w:val="20"/>
              </w:rPr>
              <w:t xml:space="preserve">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потребительского кредита, по дату погашения просроченной задолженности по основному долгу (включительно).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632A">
              <w:rPr>
                <w:sz w:val="20"/>
                <w:szCs w:val="20"/>
              </w:rPr>
              <w:t xml:space="preserve">По договорам потребительского кредита, обеспеченным ипотекой, неустойка начисляется в размере ключевой ставки Центрального банка Российской Федерации, установленной на день заключения соответствующего договора. 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632A">
              <w:rPr>
                <w:sz w:val="20"/>
                <w:szCs w:val="20"/>
              </w:rPr>
              <w:t>За несвоевременное погашение кредита с заемщика взимается неустойка:</w:t>
            </w:r>
          </w:p>
          <w:tbl>
            <w:tblPr>
              <w:tblStyle w:val="a3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362"/>
              <w:gridCol w:w="6359"/>
            </w:tblGrid>
            <w:tr w:rsidR="008E76D2" w:rsidRPr="00BA632A" w:rsidTr="00BA0721">
              <w:tc>
                <w:tcPr>
                  <w:tcW w:w="3362" w:type="dxa"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BA632A">
                    <w:rPr>
                      <w:sz w:val="20"/>
                      <w:szCs w:val="20"/>
                    </w:rPr>
                    <w:t xml:space="preserve">по договорам потребительского кредита, не обеспеченного ипотекой </w:t>
                  </w:r>
                </w:p>
              </w:tc>
              <w:tc>
                <w:tcPr>
                  <w:tcW w:w="6359" w:type="dxa"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BA632A">
                    <w:rPr>
                      <w:sz w:val="20"/>
                      <w:szCs w:val="20"/>
                    </w:rPr>
                    <w:t xml:space="preserve">в размере 10% </w:t>
                  </w:r>
                  <w:proofErr w:type="gramStart"/>
                  <w:r w:rsidRPr="00BA632A">
                    <w:rPr>
                      <w:sz w:val="20"/>
                      <w:szCs w:val="20"/>
                    </w:rPr>
                    <w:t>годовых</w:t>
                  </w:r>
                  <w:proofErr w:type="gramEnd"/>
                  <w:r w:rsidRPr="00BA632A">
                    <w:rPr>
                      <w:sz w:val="20"/>
                      <w:szCs w:val="20"/>
                    </w:rPr>
                    <w:t xml:space="preserve">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</w:t>
                  </w:r>
                  <w:r w:rsidRPr="00BA632A">
                    <w:rPr>
                      <w:sz w:val="20"/>
                      <w:szCs w:val="20"/>
                    </w:rPr>
                    <w:lastRenderedPageBreak/>
                    <w:t>потребительского кредита, по дату погашения просроченной задолженности по основному долгу (включительно)</w:t>
                  </w:r>
                </w:p>
              </w:tc>
            </w:tr>
            <w:tr w:rsidR="008E76D2" w:rsidRPr="00BA632A" w:rsidTr="00BA0721">
              <w:tc>
                <w:tcPr>
                  <w:tcW w:w="3362" w:type="dxa"/>
                </w:tcPr>
                <w:p w:rsidR="008E76D2" w:rsidRPr="00BA632A" w:rsidRDefault="008E76D2" w:rsidP="001A5082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BA632A">
                    <w:rPr>
                      <w:sz w:val="20"/>
                      <w:szCs w:val="20"/>
                    </w:rPr>
                    <w:lastRenderedPageBreak/>
                    <w:t>по договорам потребительского кредита, обеспеченным ипотекой</w:t>
                  </w:r>
                </w:p>
              </w:tc>
              <w:tc>
                <w:tcPr>
                  <w:tcW w:w="6359" w:type="dxa"/>
                </w:tcPr>
                <w:p w:rsidR="008E76D2" w:rsidRPr="00BA632A" w:rsidRDefault="008E76D2" w:rsidP="001A508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размере ключевой </w:t>
                  </w:r>
                  <w:hyperlink r:id="rId8" w:history="1">
                    <w:r w:rsidRPr="00BA632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ставки</w:t>
                    </w:r>
                  </w:hyperlink>
                  <w:r w:rsidRPr="00BA6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Центрального банка Российской Федерации, действовавшей на день заключения соответствующего договора </w:t>
                  </w:r>
                </w:p>
              </w:tc>
            </w:tr>
          </w:tbl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Информация об иных договорах, которые заемщик обязан заключить, и (или) иных услуга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х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работах, товарах)</w:t>
            </w:r>
            <w:r w:rsidRPr="00BA632A">
              <w:rPr>
                <w:color w:val="000000"/>
                <w:sz w:val="20"/>
                <w:szCs w:val="20"/>
              </w:rPr>
              <w:t xml:space="preserve">, которые он обязан </w:t>
            </w:r>
            <w:r>
              <w:rPr>
                <w:color w:val="000000"/>
                <w:sz w:val="20"/>
                <w:szCs w:val="20"/>
              </w:rPr>
              <w:t>приобрести</w:t>
            </w:r>
            <w:r w:rsidRPr="00105055">
              <w:rPr>
                <w:color w:val="000000"/>
                <w:sz w:val="20"/>
                <w:szCs w:val="20"/>
              </w:rPr>
              <w:t xml:space="preserve"> </w:t>
            </w:r>
            <w:r w:rsidRPr="00BA632A">
              <w:rPr>
                <w:color w:val="000000"/>
                <w:sz w:val="20"/>
                <w:szCs w:val="20"/>
              </w:rPr>
              <w:t xml:space="preserve">в связи с договором потребительского кредита, а также информация о возможности заемщика согласиться с заключением таких договоров и (или) </w:t>
            </w:r>
            <w:r>
              <w:rPr>
                <w:color w:val="000000"/>
                <w:sz w:val="20"/>
                <w:szCs w:val="20"/>
              </w:rPr>
              <w:t>приобретением</w:t>
            </w:r>
            <w:r w:rsidRPr="00105055">
              <w:rPr>
                <w:color w:val="000000"/>
                <w:sz w:val="20"/>
                <w:szCs w:val="20"/>
              </w:rPr>
              <w:t xml:space="preserve"> </w:t>
            </w:r>
            <w:r w:rsidRPr="00BA632A">
              <w:rPr>
                <w:color w:val="000000"/>
                <w:sz w:val="20"/>
                <w:szCs w:val="20"/>
              </w:rPr>
              <w:t>таких услуг</w:t>
            </w:r>
            <w:r w:rsidRPr="0010505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(работ, товаров)</w:t>
            </w:r>
            <w:r w:rsidRPr="00BA632A">
              <w:rPr>
                <w:color w:val="000000"/>
                <w:sz w:val="20"/>
                <w:szCs w:val="20"/>
              </w:rPr>
              <w:t xml:space="preserve"> либо отказаться от них.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CA478C" w:rsidRDefault="008E76D2" w:rsidP="00BA0721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>В случае отсутствия открытого в Банке Счета кредитования на момент обращения Заемщика за предоставлением потребительского кредита, Заемщик обязан заключить договор текущего счета. При этом Заемщик может отказаться от заключения такого договора.</w:t>
            </w:r>
          </w:p>
          <w:p w:rsidR="008E76D2" w:rsidRPr="00BA632A" w:rsidRDefault="008E76D2" w:rsidP="00BA0721">
            <w:pPr>
              <w:pStyle w:val="a4"/>
              <w:jc w:val="both"/>
            </w:pP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Информация: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-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будущем,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</w:p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Не применимо</w:t>
            </w:r>
          </w:p>
        </w:tc>
      </w:tr>
      <w:tr w:rsidR="008E76D2" w:rsidRPr="00BA632A" w:rsidTr="00BA072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6D2" w:rsidRPr="00BA632A" w:rsidRDefault="008E76D2" w:rsidP="00BA07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- о повышенных рисках заемщика, получающего доходы в валюте, отличной от валюты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 xml:space="preserve">Банк предупреждает о повышенных рисках Заемщика, получающего доходы в валюте, отличной от валюты кредита. </w:t>
            </w: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Информация об определении курса иностранной валюты в случае, если валюта, в которой осуществляется перевод денежных сре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дств кр</w:t>
            </w:r>
            <w:proofErr w:type="gramEnd"/>
            <w:r w:rsidRPr="00BA632A">
              <w:rPr>
                <w:color w:val="000000"/>
                <w:sz w:val="20"/>
                <w:szCs w:val="20"/>
              </w:rPr>
              <w:t xml:space="preserve">едитором третьему лицу, указанному заемщиком при предоставлении потребительского кредита, может отличаться от валюты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Не применимо</w:t>
            </w: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Информация о возможности запрета уступки кредитором третьим лицам прав (требований) по договору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Заемщик при заключении Договора имеет право запретить Банку уступку прав (требований) по Договору третьим лицам. </w:t>
            </w: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20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Порядок предоставления заемщиком </w:t>
            </w:r>
            <w:r w:rsidRPr="00BA632A">
              <w:rPr>
                <w:color w:val="000000"/>
                <w:sz w:val="20"/>
                <w:szCs w:val="20"/>
              </w:rPr>
              <w:lastRenderedPageBreak/>
              <w:t xml:space="preserve">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lastRenderedPageBreak/>
              <w:t xml:space="preserve">По потребительским кредитам на «Рефинансирование» в качестве подтверждения целевого использования </w:t>
            </w:r>
            <w:r w:rsidRPr="00BA632A">
              <w:rPr>
                <w:sz w:val="20"/>
                <w:szCs w:val="20"/>
              </w:rPr>
              <w:lastRenderedPageBreak/>
              <w:t>предоставляется справка (выписка) о полном погашении задолженности по кредиту в другой кредитной организации в сроки, установленные кредитным договором.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По кредитам, предоставленным на конкретные цели, отличные </w:t>
            </w:r>
            <w:proofErr w:type="gramStart"/>
            <w:r w:rsidRPr="00BA632A">
              <w:rPr>
                <w:sz w:val="20"/>
                <w:szCs w:val="20"/>
              </w:rPr>
              <w:t>от</w:t>
            </w:r>
            <w:proofErr w:type="gramEnd"/>
            <w:r w:rsidRPr="00BA632A">
              <w:rPr>
                <w:sz w:val="20"/>
                <w:szCs w:val="20"/>
              </w:rPr>
              <w:t xml:space="preserve"> потребительских, заемщиком предоставляются документы, подтверждающие их целевое использование.</w:t>
            </w:r>
          </w:p>
        </w:tc>
      </w:tr>
      <w:tr w:rsidR="008E76D2" w:rsidRPr="00BA632A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Подсудность споров по искам кредитора к заемщику.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Споры по договору потребительского кредита рассматриваются в установленном законодательством Российской Федерации судебном порядке. Наименование суда указывается в Индивидуальных условиях договора потребительского кредита.</w:t>
            </w:r>
          </w:p>
        </w:tc>
      </w:tr>
      <w:tr w:rsidR="008E76D2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22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Формуляры или иные стандартные формы, в которых определены общие условия договора потребительского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Общие условия договора потребительского кредита размещены:</w:t>
            </w:r>
          </w:p>
          <w:p w:rsidR="008E76D2" w:rsidRPr="00BA632A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в местах оказания услуг по адресу: КБР, г. Нальчик, ул. Толстого, д. 77;</w:t>
            </w:r>
          </w:p>
          <w:p w:rsidR="008E76D2" w:rsidRDefault="008E76D2" w:rsidP="00BA0721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- на сайте Банка по адресу: </w:t>
            </w:r>
            <w:hyperlink r:id="rId9" w:history="1">
              <w:r w:rsidRPr="00BA632A">
                <w:rPr>
                  <w:rStyle w:val="a5"/>
                  <w:rFonts w:eastAsiaTheme="minorEastAsia"/>
                  <w:sz w:val="20"/>
                  <w:szCs w:val="20"/>
                </w:rPr>
                <w:t>http://bnal.ru</w:t>
              </w:r>
            </w:hyperlink>
          </w:p>
        </w:tc>
      </w:tr>
      <w:tr w:rsidR="008E76D2" w:rsidTr="00BA0721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Pr="00BA632A" w:rsidRDefault="008E76D2" w:rsidP="00BA0721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Default="008E76D2" w:rsidP="00B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праве заемщика обратиться к кредитору с требованием, указанным в 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части 1 статьи 6.1-2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Федерального закона №353-ФЗ, и об условиях, при наступлении которых у заемщика возникает соответствующее право.</w:t>
            </w:r>
          </w:p>
          <w:p w:rsidR="008E76D2" w:rsidRPr="00BA632A" w:rsidRDefault="008E76D2" w:rsidP="00BA0721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6D2" w:rsidRDefault="008E76D2" w:rsidP="00BA0721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D04FEA">
              <w:rPr>
                <w:sz w:val="20"/>
                <w:szCs w:val="20"/>
              </w:rPr>
              <w:t>Заемщик</w:t>
            </w:r>
            <w:r>
              <w:rPr>
                <w:sz w:val="20"/>
                <w:szCs w:val="20"/>
              </w:rPr>
              <w:t xml:space="preserve"> в любой момент в течение времени действия кредитного договора, за исключением случая, указанного в пункте 2 части 2 статьи 6.1-2 Федерального закона №353-ФЗ «О потребительском кредите (займе)», вправе обратиться к кредитору с требованием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условий, указанных в статье 6.1-2 Федерального закона №353-ФЗ.</w:t>
            </w:r>
            <w:proofErr w:type="gramEnd"/>
          </w:p>
          <w:p w:rsidR="008E76D2" w:rsidRDefault="008E76D2" w:rsidP="00BA072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случая, указанного в пункте 2 части 2 статьи 6.1-2 Федерального закона №353-ФЗ, срок обращения заемщика к кредитору составляет 60 дней со дня установления соответствующих фактов.</w:t>
            </w:r>
          </w:p>
          <w:p w:rsidR="008E76D2" w:rsidRDefault="008E76D2" w:rsidP="00BA0721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8E76D2" w:rsidRDefault="008E76D2" w:rsidP="00BA0721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Подробная информация – на официальном сайте </w:t>
            </w:r>
            <w:r w:rsidRPr="00BA632A">
              <w:rPr>
                <w:sz w:val="20"/>
                <w:szCs w:val="20"/>
              </w:rPr>
              <w:t xml:space="preserve"> Банка: </w:t>
            </w:r>
            <w:hyperlink r:id="rId11" w:history="1">
              <w:r w:rsidRPr="00421FCC">
                <w:rPr>
                  <w:rStyle w:val="a5"/>
                  <w:sz w:val="20"/>
                  <w:szCs w:val="20"/>
                </w:rPr>
                <w:t>http://bnal.ru</w:t>
              </w:r>
            </w:hyperlink>
          </w:p>
          <w:p w:rsidR="008E76D2" w:rsidRPr="0014173D" w:rsidRDefault="008E76D2" w:rsidP="00BA0721">
            <w:pPr>
              <w:pStyle w:val="Default"/>
              <w:jc w:val="both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 xml:space="preserve">раздел «Программы поддержки заемщиков» </w:t>
            </w:r>
          </w:p>
        </w:tc>
      </w:tr>
    </w:tbl>
    <w:p w:rsidR="008E76D2" w:rsidRPr="00BA632A" w:rsidRDefault="008E76D2" w:rsidP="008E76D2">
      <w:pPr>
        <w:pStyle w:val="a4"/>
        <w:spacing w:before="0" w:beforeAutospacing="0" w:after="0" w:afterAutospacing="0"/>
        <w:rPr>
          <w:b/>
          <w:bCs/>
        </w:rPr>
      </w:pPr>
      <w:bookmarkStart w:id="1" w:name="_Приложение_1.2"/>
      <w:bookmarkStart w:id="2" w:name="_Toc158890829"/>
      <w:bookmarkStart w:id="3" w:name="_GoBack"/>
      <w:bookmarkEnd w:id="0"/>
      <w:bookmarkEnd w:id="1"/>
      <w:bookmarkEnd w:id="3"/>
    </w:p>
    <w:bookmarkEnd w:id="2"/>
    <w:p w:rsidR="0057162C" w:rsidRDefault="0057162C" w:rsidP="008E76D2">
      <w:pPr>
        <w:pStyle w:val="1"/>
        <w:jc w:val="right"/>
      </w:pPr>
    </w:p>
    <w:sectPr w:rsidR="0057162C" w:rsidSect="00642DE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0F81"/>
    <w:multiLevelType w:val="multilevel"/>
    <w:tmpl w:val="02E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F4"/>
    <w:rsid w:val="001A5082"/>
    <w:rsid w:val="002301F4"/>
    <w:rsid w:val="0057162C"/>
    <w:rsid w:val="00642DE2"/>
    <w:rsid w:val="008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E76D2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D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8E76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8E76D2"/>
    <w:rPr>
      <w:color w:val="0000FF"/>
      <w:u w:val="single"/>
    </w:rPr>
  </w:style>
  <w:style w:type="paragraph" w:customStyle="1" w:styleId="Default">
    <w:name w:val="Default"/>
    <w:uiPriority w:val="99"/>
    <w:rsid w:val="008E76D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6D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E76D2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D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8E76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8E76D2"/>
    <w:rPr>
      <w:color w:val="0000FF"/>
      <w:u w:val="single"/>
    </w:rPr>
  </w:style>
  <w:style w:type="paragraph" w:customStyle="1" w:styleId="Default">
    <w:name w:val="Default"/>
    <w:uiPriority w:val="99"/>
    <w:rsid w:val="008E76D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6D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8440786A1A56BC3F776435190EF502A8F479BF2A55A7402BF1FB9D5822175559E853C58308B7B032C41EBEC897DBF50F6B9FA9F1BFB8p7QA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bnal.ru/?phpMyAdmin=c51c48cd1562t66904b7fr1a9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na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3105&amp;dst=1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Эндреева Джамиля Борисовна</dc:creator>
  <cp:keywords/>
  <dc:description/>
  <cp:lastModifiedBy>Эндреева Джамиля Борисовна</cp:lastModifiedBy>
  <cp:revision>3</cp:revision>
  <dcterms:created xsi:type="dcterms:W3CDTF">2024-08-26T08:54:00Z</dcterms:created>
  <dcterms:modified xsi:type="dcterms:W3CDTF">2024-08-27T08:02:00Z</dcterms:modified>
</cp:coreProperties>
</file>